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8C64" w14:textId="1CEF7C85" w:rsidR="001F26C1" w:rsidRDefault="001F26C1" w:rsidP="00D86E0D">
      <w:pPr>
        <w:pStyle w:val="Ttulo1"/>
        <w:spacing w:before="0" w:line="360" w:lineRule="auto"/>
        <w:ind w:left="567" w:right="96"/>
        <w:jc w:val="center"/>
      </w:pPr>
      <w:r>
        <w:t xml:space="preserve">ANEXO </w:t>
      </w:r>
      <w:proofErr w:type="spellStart"/>
      <w:r>
        <w:t>N°</w:t>
      </w:r>
      <w:proofErr w:type="spellEnd"/>
      <w:r>
        <w:t xml:space="preserve"> 1</w:t>
      </w:r>
    </w:p>
    <w:p w14:paraId="24EAC63C" w14:textId="77777777" w:rsidR="000F5E5A" w:rsidRDefault="00F751C3" w:rsidP="00D86E0D">
      <w:pPr>
        <w:pStyle w:val="Ttulo1"/>
        <w:spacing w:before="0" w:line="360" w:lineRule="auto"/>
        <w:ind w:left="567" w:right="96"/>
        <w:jc w:val="center"/>
        <w:rPr>
          <w:spacing w:val="1"/>
        </w:rPr>
      </w:pPr>
      <w:r>
        <w:t>GOBIERNO DEL PERÚ - MINISTERIO DEL AMBIENTE</w:t>
      </w:r>
      <w:r>
        <w:rPr>
          <w:spacing w:val="1"/>
        </w:rPr>
        <w:t xml:space="preserve"> </w:t>
      </w:r>
    </w:p>
    <w:p w14:paraId="5A3114B1" w14:textId="22D6793D" w:rsidR="00F04A62" w:rsidRPr="00CE6B62" w:rsidRDefault="00F751C3" w:rsidP="00D86E0D">
      <w:pPr>
        <w:pStyle w:val="Ttulo1"/>
        <w:spacing w:before="0" w:line="360" w:lineRule="auto"/>
        <w:ind w:left="567" w:right="96"/>
        <w:jc w:val="center"/>
        <w:rPr>
          <w:color w:val="000000"/>
          <w:lang w:val="es-PE"/>
        </w:rPr>
      </w:pPr>
      <w:r w:rsidRPr="00CE6B62">
        <w:rPr>
          <w:lang w:val="es-PE"/>
        </w:rPr>
        <w:t>DATOS</w:t>
      </w:r>
      <w:r w:rsidRPr="00CE6B62">
        <w:rPr>
          <w:spacing w:val="-4"/>
          <w:lang w:val="es-PE"/>
        </w:rPr>
        <w:t xml:space="preserve"> </w:t>
      </w:r>
      <w:r w:rsidRPr="00CE6B62">
        <w:rPr>
          <w:lang w:val="es-PE"/>
        </w:rPr>
        <w:t>PARA</w:t>
      </w:r>
      <w:r w:rsidR="000F5E5A" w:rsidRPr="00CE6B62">
        <w:rPr>
          <w:spacing w:val="-2"/>
          <w:lang w:val="es-PE"/>
        </w:rPr>
        <w:t xml:space="preserve"> </w:t>
      </w:r>
      <w:r w:rsidRPr="00CE6B62">
        <w:rPr>
          <w:lang w:val="es-PE"/>
        </w:rPr>
        <w:t>ACREDITACIÓN</w:t>
      </w:r>
      <w:r w:rsidRPr="00CE6B62">
        <w:rPr>
          <w:spacing w:val="-1"/>
          <w:lang w:val="es-PE"/>
        </w:rPr>
        <w:t xml:space="preserve"> </w:t>
      </w:r>
      <w:r w:rsidR="00CE6B62">
        <w:rPr>
          <w:lang w:val="es-PE"/>
        </w:rPr>
        <w:t xml:space="preserve">AL </w:t>
      </w:r>
      <w:r w:rsidR="00CE6B62" w:rsidRPr="00CE6B62">
        <w:rPr>
          <w:lang w:val="es-PE"/>
        </w:rPr>
        <w:t>SEXAGÉSIMO SEGUNDO PERÍODO DE SESIONES DEL ÓRGANO SUBSIDIARIO DE ASESORAMIENTO CIENTÍFICO Y TECNOLÓGICO Y DEL ÓRGANO SUBSIDIARIO DE EJECUCIÓN (SB 62)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275"/>
        <w:gridCol w:w="5387"/>
      </w:tblGrid>
      <w:tr w:rsidR="00F04A62" w:rsidRPr="00F04A62" w14:paraId="6BBDF018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A901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B93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Nombre Completo: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39CA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709A2926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044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21B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Documento de acreditación: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3F6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F04A62" w14:paraId="1E226E2C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D44" w14:textId="77777777" w:rsidR="00F04A62" w:rsidRPr="00F04A62" w:rsidRDefault="00F04A62" w:rsidP="00F04A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4A4A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(i) Pasaporte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B188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(       )</w:t>
            </w:r>
          </w:p>
        </w:tc>
      </w:tr>
      <w:tr w:rsidR="00F04A62" w:rsidRPr="00F04A62" w14:paraId="2C121EB9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791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763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B164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65563A66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7E3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0A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Tipo de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1BA56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55542000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4DFF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B8B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País que emite el pasaporte: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B70C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4131786E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54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6AA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65A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04A62" w:rsidRPr="00F04A62" w14:paraId="45E350BC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F6B8" w14:textId="77777777" w:rsidR="00F04A62" w:rsidRPr="00F04A62" w:rsidRDefault="00F04A62" w:rsidP="00F04A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3C2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(</w:t>
            </w:r>
            <w:proofErr w:type="spellStart"/>
            <w:r w:rsidRPr="00F04A62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ii</w:t>
            </w:r>
            <w:proofErr w:type="spellEnd"/>
            <w:r w:rsidRPr="00F04A62">
              <w:rPr>
                <w:rFonts w:eastAsia="Times New Roman"/>
                <w:b/>
                <w:bCs/>
                <w:color w:val="000000"/>
                <w:sz w:val="24"/>
                <w:szCs w:val="24"/>
                <w:lang w:val="es-PE" w:eastAsia="es-PE"/>
              </w:rPr>
              <w:t>) Documento de identidad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4D1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(      )</w:t>
            </w:r>
          </w:p>
        </w:tc>
      </w:tr>
      <w:tr w:rsidR="00F04A62" w:rsidRPr="00F04A62" w14:paraId="35F85413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AF9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1A7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Número de DNI: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23A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490825BC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C4B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659" w14:textId="7390FE0C" w:rsidR="00F04A62" w:rsidRPr="00F04A62" w:rsidRDefault="00AD659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Nacionalidad</w:t>
            </w:r>
            <w:r w:rsidR="00F04A62"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1CAA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661E2B56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78A2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C8CE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Fecha de nacimiento: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0342C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714342BC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AA7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E89" w14:textId="20BCED16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País y ciudad de residencia: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1DC0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1B6938A6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2D65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4259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Organización: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3530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6ABFBAFC" w14:textId="77777777" w:rsidTr="00F04A62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359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7C4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  <w:t>Cargo: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1BDC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3587C640" w14:textId="77777777" w:rsidTr="007F37D0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D52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6296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Correo electrónico: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C845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5B104139" w14:textId="77777777" w:rsidTr="007F37D0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E28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441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Número de celular: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7B5A4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F04A62" w:rsidRPr="00F04A62" w14:paraId="210BA038" w14:textId="77777777" w:rsidTr="007F37D0">
        <w:trPr>
          <w:trHeight w:val="5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EFC9" w14:textId="560E41B6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  <w:t>10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EFAD" w14:textId="21B401D2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Fecha de participación</w:t>
            </w:r>
            <w:r w:rsidR="007F37D0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 durante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F08ADA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7F37D0" w:rsidRPr="00F04A62" w14:paraId="331B2C7E" w14:textId="77777777" w:rsidTr="007F37D0">
        <w:trPr>
          <w:trHeight w:val="30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3D95" w14:textId="77777777" w:rsidR="007F37D0" w:rsidRDefault="007F37D0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448A" w14:textId="3768CCF6" w:rsidR="007F37D0" w:rsidRDefault="006A3D94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el </w:t>
            </w:r>
            <w:r w:rsidR="00CE6B62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SB62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D1995" w14:textId="77777777" w:rsidR="007F37D0" w:rsidRPr="00F04A62" w:rsidRDefault="007F37D0" w:rsidP="00F04A6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</w:tbl>
    <w:p w14:paraId="38B5E494" w14:textId="77777777" w:rsidR="00470D0B" w:rsidRDefault="00470D0B">
      <w:pPr>
        <w:pStyle w:val="Textoindependiente"/>
        <w:spacing w:before="9"/>
        <w:rPr>
          <w:b/>
          <w:sz w:val="17"/>
        </w:rPr>
      </w:pP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8639"/>
      </w:tblGrid>
      <w:tr w:rsidR="00F04A62" w:rsidRPr="00F04A62" w14:paraId="53ED66E0" w14:textId="77777777" w:rsidTr="00F04A62">
        <w:trPr>
          <w:trHeight w:val="10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3A1" w14:textId="636B1B86" w:rsidR="00F04A62" w:rsidRPr="00F04A62" w:rsidRDefault="00522F16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522F16">
              <w:rPr>
                <w:sz w:val="24"/>
              </w:rPr>
              <w:lastRenderedPageBreak/>
              <w:br w:type="page"/>
            </w:r>
            <w:r w:rsidR="00F04A62" w:rsidRPr="00F04A62">
              <w:rPr>
                <w:rFonts w:eastAsia="Times New Roman"/>
                <w:color w:val="000000"/>
                <w:lang w:val="es-PE" w:eastAsia="es-PE"/>
              </w:rPr>
              <w:t>11</w: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E1EF" w14:textId="0D0DC730" w:rsidR="00F04A62" w:rsidRPr="00F04A62" w:rsidRDefault="009F7BA0" w:rsidP="00CE6B62">
            <w:pPr>
              <w:widowControl/>
              <w:autoSpaceDE/>
              <w:autoSpaceDN/>
              <w:jc w:val="both"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Indicar las a</w:t>
            </w:r>
            <w:r w:rsidR="007B0AE9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ctividades que pretende desarrollar </w:t>
            </w:r>
            <w:r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en </w:t>
            </w:r>
            <w:r w:rsidR="006A3D94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el </w:t>
            </w:r>
            <w:r w:rsidR="00CE6B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SB62</w:t>
            </w:r>
            <w:r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</w:t>
            </w:r>
            <w:r w:rsidR="007B0AE9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vinculadas a las Contribuciones </w:t>
            </w:r>
            <w:r w:rsidR="000A57B4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Determinadas a Nivel </w:t>
            </w:r>
            <w:r w:rsidR="007B0AE9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Nacional (NDC)</w:t>
            </w:r>
            <w:r w:rsidR="00F02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</w:t>
            </w:r>
            <w:r w:rsidR="000A57B4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y </w:t>
            </w:r>
            <w:r w:rsidR="00F02D05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que contribuyen a</w:t>
            </w:r>
            <w:r w:rsidR="007B0AE9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 xml:space="preserve"> la gestión integral del cambio climático</w:t>
            </w:r>
            <w:r w:rsidR="00F04A62" w:rsidRPr="00F04A62">
              <w:rPr>
                <w:rFonts w:eastAsia="Times New Roman"/>
                <w:color w:val="212121"/>
                <w:sz w:val="24"/>
                <w:szCs w:val="24"/>
                <w:lang w:eastAsia="es-PE"/>
              </w:rPr>
              <w:t>:</w:t>
            </w:r>
          </w:p>
        </w:tc>
      </w:tr>
      <w:tr w:rsidR="00F04A62" w:rsidRPr="00F04A62" w14:paraId="306CFCBD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7D3" w14:textId="77777777" w:rsidR="00F04A62" w:rsidRPr="00F04A62" w:rsidRDefault="00F04A62" w:rsidP="00F04A62">
            <w:pPr>
              <w:widowControl/>
              <w:autoSpaceDE/>
              <w:autoSpaceDN/>
              <w:rPr>
                <w:rFonts w:eastAsia="Times New Roman"/>
                <w:color w:val="212121"/>
                <w:sz w:val="24"/>
                <w:szCs w:val="24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8B70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2D6787AE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936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728F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000F72AB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ECBC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CFED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01180C16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D1B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6D7D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7E9951E3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9E6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97EFB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3A31E7FC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CCC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A758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322B49EA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82B1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9977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124A0FC5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E20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8C7A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6F07DA0C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E2D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945E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3530D84F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00F6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A7EC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707694B1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4CB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4E46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F04A62" w:rsidRPr="00F04A62" w14:paraId="11FA832F" w14:textId="77777777" w:rsidTr="00F04A62">
        <w:trPr>
          <w:trHeight w:val="4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C29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DD11" w14:textId="77777777" w:rsidR="00F04A62" w:rsidRPr="00F04A62" w:rsidRDefault="00F04A62" w:rsidP="00F04A6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F04A62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</w:tbl>
    <w:p w14:paraId="2D7FBD8B" w14:textId="77777777" w:rsidR="00F04A62" w:rsidRPr="00F04A62" w:rsidRDefault="00F04A62" w:rsidP="006F5E1F">
      <w:pPr>
        <w:tabs>
          <w:tab w:val="left" w:pos="740"/>
          <w:tab w:val="left" w:pos="8971"/>
        </w:tabs>
        <w:spacing w:line="360" w:lineRule="auto"/>
        <w:jc w:val="both"/>
        <w:rPr>
          <w:color w:val="212121"/>
          <w:sz w:val="24"/>
          <w:lang w:val="es-PE"/>
        </w:rPr>
      </w:pPr>
    </w:p>
    <w:p w14:paraId="338F31D3" w14:textId="132D8BDB" w:rsidR="004A686C" w:rsidRDefault="00F96391" w:rsidP="007F37D0">
      <w:pPr>
        <w:tabs>
          <w:tab w:val="left" w:pos="740"/>
          <w:tab w:val="left" w:pos="8971"/>
        </w:tabs>
        <w:spacing w:line="360" w:lineRule="auto"/>
        <w:ind w:left="284"/>
        <w:jc w:val="both"/>
        <w:rPr>
          <w:color w:val="212121"/>
          <w:sz w:val="24"/>
        </w:rPr>
      </w:pPr>
      <w:r>
        <w:rPr>
          <w:color w:val="212121"/>
          <w:sz w:val="24"/>
        </w:rPr>
        <w:t>Declaro conocer de las especificaciones y recomendaciones definidas por el Ministerio del Ambiente del Perú, en e</w:t>
      </w:r>
      <w:r w:rsidR="0045416A">
        <w:rPr>
          <w:color w:val="212121"/>
          <w:sz w:val="24"/>
        </w:rPr>
        <w:t xml:space="preserve">l marco de la </w:t>
      </w:r>
      <w:r w:rsidR="0099539C">
        <w:rPr>
          <w:color w:val="212121"/>
          <w:sz w:val="24"/>
        </w:rPr>
        <w:t xml:space="preserve">participación en </w:t>
      </w:r>
      <w:r w:rsidR="006A3D94">
        <w:rPr>
          <w:color w:val="212121"/>
          <w:sz w:val="24"/>
        </w:rPr>
        <w:t xml:space="preserve">el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>SB62</w:t>
      </w:r>
      <w:r>
        <w:rPr>
          <w:color w:val="212121"/>
          <w:sz w:val="24"/>
        </w:rPr>
        <w:t xml:space="preserve">, descritas </w:t>
      </w:r>
      <w:r w:rsidR="00783A99">
        <w:rPr>
          <w:color w:val="212121"/>
          <w:sz w:val="24"/>
        </w:rPr>
        <w:t>a continuación:</w:t>
      </w:r>
    </w:p>
    <w:p w14:paraId="6FCA05AC" w14:textId="17773FBA" w:rsidR="00F96391" w:rsidRPr="004A686C" w:rsidRDefault="00783A99" w:rsidP="007F37D0">
      <w:pPr>
        <w:tabs>
          <w:tab w:val="left" w:pos="740"/>
          <w:tab w:val="left" w:pos="8971"/>
        </w:tabs>
        <w:spacing w:line="360" w:lineRule="auto"/>
        <w:ind w:left="993"/>
        <w:jc w:val="both"/>
        <w:rPr>
          <w:color w:val="212121"/>
          <w:sz w:val="10"/>
          <w:szCs w:val="10"/>
        </w:rPr>
      </w:pPr>
      <w:r>
        <w:rPr>
          <w:color w:val="212121"/>
          <w:sz w:val="24"/>
        </w:rPr>
        <w:t xml:space="preserve"> </w:t>
      </w:r>
    </w:p>
    <w:p w14:paraId="7979B2EF" w14:textId="17310A18" w:rsidR="006075F6" w:rsidRPr="00783A99" w:rsidRDefault="007631D2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>
        <w:rPr>
          <w:sz w:val="24"/>
          <w:szCs w:val="24"/>
        </w:rPr>
        <w:t>El Gobierno p</w:t>
      </w:r>
      <w:r w:rsidR="006075F6" w:rsidRPr="00783A99">
        <w:rPr>
          <w:sz w:val="24"/>
          <w:szCs w:val="24"/>
        </w:rPr>
        <w:t xml:space="preserve">eruano recomienda a cada participante </w:t>
      </w:r>
      <w:r w:rsidR="000A295F">
        <w:rPr>
          <w:sz w:val="24"/>
          <w:szCs w:val="24"/>
        </w:rPr>
        <w:t xml:space="preserve">contar </w:t>
      </w:r>
      <w:r w:rsidR="006075F6" w:rsidRPr="00783A99">
        <w:rPr>
          <w:sz w:val="24"/>
          <w:szCs w:val="24"/>
        </w:rPr>
        <w:t>con un seguro de viaje</w:t>
      </w:r>
      <w:r w:rsidR="00DD24AE" w:rsidRPr="00783A99">
        <w:rPr>
          <w:sz w:val="24"/>
          <w:szCs w:val="24"/>
        </w:rPr>
        <w:t xml:space="preserve"> internacional</w:t>
      </w:r>
      <w:r w:rsidR="006075F6" w:rsidRPr="00783A99">
        <w:rPr>
          <w:sz w:val="24"/>
          <w:szCs w:val="24"/>
        </w:rPr>
        <w:t xml:space="preserve"> ante cualquier emergencia que pueda surgir</w:t>
      </w:r>
      <w:r w:rsidR="0045416A">
        <w:rPr>
          <w:sz w:val="24"/>
          <w:szCs w:val="24"/>
        </w:rPr>
        <w:t xml:space="preserve"> dura</w:t>
      </w:r>
      <w:r w:rsidR="00870C7A">
        <w:rPr>
          <w:sz w:val="24"/>
          <w:szCs w:val="24"/>
        </w:rPr>
        <w:t xml:space="preserve">nte su participación </w:t>
      </w:r>
      <w:r w:rsidR="0099539C">
        <w:rPr>
          <w:sz w:val="24"/>
          <w:szCs w:val="24"/>
        </w:rPr>
        <w:t>en</w:t>
      </w:r>
      <w:r w:rsidR="006A3D94">
        <w:rPr>
          <w:sz w:val="24"/>
          <w:szCs w:val="24"/>
        </w:rPr>
        <w:t xml:space="preserve"> el</w:t>
      </w:r>
      <w:r w:rsidR="0099539C">
        <w:rPr>
          <w:sz w:val="24"/>
          <w:szCs w:val="24"/>
        </w:rPr>
        <w:t xml:space="preserve">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>SB62</w:t>
      </w:r>
      <w:r w:rsidR="006075F6" w:rsidRPr="00783A99">
        <w:rPr>
          <w:sz w:val="24"/>
          <w:szCs w:val="24"/>
        </w:rPr>
        <w:t xml:space="preserve">. </w:t>
      </w:r>
    </w:p>
    <w:p w14:paraId="5F854781" w14:textId="5AC32072" w:rsidR="003A7F0E" w:rsidRDefault="007631D2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>
        <w:rPr>
          <w:sz w:val="24"/>
          <w:szCs w:val="24"/>
        </w:rPr>
        <w:t>El Gobierno p</w:t>
      </w:r>
      <w:r w:rsidR="00F751C3" w:rsidRPr="00783A99">
        <w:rPr>
          <w:sz w:val="24"/>
          <w:szCs w:val="24"/>
        </w:rPr>
        <w:t>eruano no se responsabiliza de los gastos que pueda incurrir</w:t>
      </w:r>
      <w:r w:rsidR="00DD24AE" w:rsidRPr="00783A99">
        <w:rPr>
          <w:sz w:val="24"/>
          <w:szCs w:val="24"/>
        </w:rPr>
        <w:t xml:space="preserve">, para algún participante, </w:t>
      </w:r>
      <w:r w:rsidR="00774B1B" w:rsidRPr="00783A99">
        <w:rPr>
          <w:sz w:val="24"/>
          <w:szCs w:val="24"/>
        </w:rPr>
        <w:t>en caso de</w:t>
      </w:r>
      <w:r w:rsidR="000A5D57" w:rsidRPr="00783A99">
        <w:rPr>
          <w:sz w:val="24"/>
          <w:szCs w:val="24"/>
        </w:rPr>
        <w:t xml:space="preserve"> </w:t>
      </w:r>
      <w:r w:rsidR="00F751C3" w:rsidRPr="00783A99">
        <w:rPr>
          <w:sz w:val="24"/>
          <w:szCs w:val="24"/>
        </w:rPr>
        <w:t>cancelación o cambio</w:t>
      </w:r>
      <w:r w:rsidR="00DD24AE" w:rsidRPr="00783A99">
        <w:rPr>
          <w:sz w:val="24"/>
          <w:szCs w:val="24"/>
        </w:rPr>
        <w:t>s en la programación,</w:t>
      </w:r>
      <w:r w:rsidR="00F751C3" w:rsidRPr="00783A99">
        <w:rPr>
          <w:sz w:val="24"/>
          <w:szCs w:val="24"/>
        </w:rPr>
        <w:t xml:space="preserve"> que realice la Secretaría de la Convención Marco de las Naciones Unidas sobre </w:t>
      </w:r>
      <w:r w:rsidR="000A295F">
        <w:rPr>
          <w:sz w:val="24"/>
          <w:szCs w:val="24"/>
        </w:rPr>
        <w:t xml:space="preserve">el </w:t>
      </w:r>
      <w:r w:rsidR="00F751C3" w:rsidRPr="00783A99">
        <w:rPr>
          <w:sz w:val="24"/>
          <w:szCs w:val="24"/>
        </w:rPr>
        <w:t>Cambio Climático</w:t>
      </w:r>
      <w:r w:rsidR="000A5D57" w:rsidRPr="00783A99">
        <w:rPr>
          <w:sz w:val="24"/>
          <w:szCs w:val="24"/>
        </w:rPr>
        <w:t>,</w:t>
      </w:r>
      <w:r w:rsidR="00F751C3" w:rsidRPr="00783A99">
        <w:rPr>
          <w:sz w:val="24"/>
          <w:szCs w:val="24"/>
        </w:rPr>
        <w:t xml:space="preserve"> respecto </w:t>
      </w:r>
      <w:r w:rsidR="00DD24AE" w:rsidRPr="00783A99">
        <w:rPr>
          <w:sz w:val="24"/>
          <w:szCs w:val="24"/>
        </w:rPr>
        <w:t xml:space="preserve">de </w:t>
      </w:r>
      <w:r w:rsidR="00F751C3" w:rsidRPr="00783A99">
        <w:rPr>
          <w:sz w:val="24"/>
          <w:szCs w:val="24"/>
        </w:rPr>
        <w:t xml:space="preserve">la </w:t>
      </w:r>
      <w:r w:rsidR="00870C7A">
        <w:rPr>
          <w:sz w:val="24"/>
          <w:szCs w:val="24"/>
        </w:rPr>
        <w:t>realizació</w:t>
      </w:r>
      <w:r w:rsidR="0099539C">
        <w:rPr>
          <w:sz w:val="24"/>
          <w:szCs w:val="24"/>
        </w:rPr>
        <w:t>n d</w:t>
      </w:r>
      <w:r w:rsidR="000A295F">
        <w:rPr>
          <w:sz w:val="24"/>
          <w:szCs w:val="24"/>
        </w:rPr>
        <w:t>e</w:t>
      </w:r>
      <w:r w:rsidR="006A3D94">
        <w:rPr>
          <w:sz w:val="24"/>
          <w:szCs w:val="24"/>
        </w:rPr>
        <w:t>l</w:t>
      </w:r>
      <w:r w:rsidR="000A295F">
        <w:rPr>
          <w:sz w:val="24"/>
          <w:szCs w:val="24"/>
        </w:rPr>
        <w:t xml:space="preserve">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>SB62</w:t>
      </w:r>
      <w:r w:rsidR="00F751C3" w:rsidRPr="00783A99">
        <w:rPr>
          <w:sz w:val="24"/>
          <w:szCs w:val="24"/>
        </w:rPr>
        <w:t>.</w:t>
      </w:r>
    </w:p>
    <w:p w14:paraId="315ED97F" w14:textId="6BDAF01D" w:rsidR="007F37D0" w:rsidRPr="004E2FB0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4E2FB0">
        <w:rPr>
          <w:sz w:val="24"/>
          <w:szCs w:val="24"/>
        </w:rPr>
        <w:t>Cada participante es respo</w:t>
      </w:r>
      <w:r>
        <w:rPr>
          <w:sz w:val="24"/>
          <w:szCs w:val="24"/>
        </w:rPr>
        <w:t>ns</w:t>
      </w:r>
      <w:r w:rsidR="0099539C">
        <w:rPr>
          <w:sz w:val="24"/>
          <w:szCs w:val="24"/>
        </w:rPr>
        <w:t xml:space="preserve">able de su financiamiento </w:t>
      </w:r>
      <w:r w:rsidR="006A3D94">
        <w:rPr>
          <w:sz w:val="24"/>
          <w:szCs w:val="24"/>
        </w:rPr>
        <w:t>al</w:t>
      </w:r>
      <w:r w:rsidR="000A295F">
        <w:rPr>
          <w:sz w:val="24"/>
          <w:szCs w:val="24"/>
        </w:rPr>
        <w:t xml:space="preserve">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 xml:space="preserve">SB62 </w:t>
      </w:r>
      <w:r w:rsidRPr="004E2FB0">
        <w:rPr>
          <w:sz w:val="24"/>
          <w:szCs w:val="24"/>
        </w:rPr>
        <w:t xml:space="preserve">y de realizar todos los trámites respectivos para su ingreso a </w:t>
      </w:r>
      <w:r w:rsidR="00A60A73">
        <w:rPr>
          <w:sz w:val="24"/>
          <w:szCs w:val="24"/>
        </w:rPr>
        <w:t xml:space="preserve">la República de </w:t>
      </w:r>
      <w:r w:rsidR="00CE6B62">
        <w:rPr>
          <w:sz w:val="24"/>
          <w:szCs w:val="24"/>
        </w:rPr>
        <w:t>Alemania.</w:t>
      </w:r>
    </w:p>
    <w:p w14:paraId="1ECA99D5" w14:textId="68791EF4" w:rsidR="007F37D0" w:rsidRPr="00F07BA8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F07BA8">
        <w:rPr>
          <w:sz w:val="24"/>
          <w:szCs w:val="24"/>
        </w:rPr>
        <w:lastRenderedPageBreak/>
        <w:t>Cada participante es responsable por cualquier tipo de afectación a su salud o integridad durante las actividades que ejecute como parte de la delegación peruana y su participación en</w:t>
      </w:r>
      <w:r w:rsidR="006A3D94">
        <w:rPr>
          <w:sz w:val="24"/>
          <w:szCs w:val="24"/>
        </w:rPr>
        <w:t xml:space="preserve"> el</w:t>
      </w:r>
      <w:r w:rsidRPr="00F07BA8">
        <w:rPr>
          <w:sz w:val="24"/>
          <w:szCs w:val="24"/>
        </w:rPr>
        <w:t xml:space="preserve">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>SB62</w:t>
      </w:r>
      <w:r w:rsidRPr="00F07BA8">
        <w:rPr>
          <w:sz w:val="24"/>
          <w:szCs w:val="24"/>
        </w:rPr>
        <w:t>.</w:t>
      </w:r>
    </w:p>
    <w:p w14:paraId="5D7C38CC" w14:textId="551E0D7C" w:rsidR="007F37D0" w:rsidRPr="007F3843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783A99">
        <w:rPr>
          <w:sz w:val="24"/>
          <w:szCs w:val="24"/>
        </w:rPr>
        <w:t>Cada participante</w:t>
      </w:r>
      <w:r>
        <w:rPr>
          <w:sz w:val="24"/>
          <w:szCs w:val="24"/>
        </w:rPr>
        <w:t xml:space="preserve">, </w:t>
      </w:r>
      <w:r w:rsidRPr="00783A99">
        <w:rPr>
          <w:sz w:val="24"/>
          <w:szCs w:val="24"/>
        </w:rPr>
        <w:t xml:space="preserve">deberá cumplir con </w:t>
      </w:r>
      <w:r w:rsidR="000A295F">
        <w:rPr>
          <w:sz w:val="24"/>
          <w:szCs w:val="24"/>
        </w:rPr>
        <w:t xml:space="preserve">las </w:t>
      </w:r>
      <w:r w:rsidRPr="00783A99">
        <w:rPr>
          <w:sz w:val="24"/>
          <w:szCs w:val="24"/>
        </w:rPr>
        <w:t>medi</w:t>
      </w:r>
      <w:r>
        <w:rPr>
          <w:sz w:val="24"/>
          <w:szCs w:val="24"/>
        </w:rPr>
        <w:t>das impuestas por</w:t>
      </w:r>
      <w:r w:rsidR="00A60A73">
        <w:rPr>
          <w:sz w:val="24"/>
          <w:szCs w:val="24"/>
        </w:rPr>
        <w:t xml:space="preserve"> la República de </w:t>
      </w:r>
      <w:r w:rsidR="00CE6B62">
        <w:rPr>
          <w:sz w:val="24"/>
          <w:szCs w:val="24"/>
        </w:rPr>
        <w:t>Alemania</w:t>
      </w:r>
      <w:r w:rsidRPr="007F3843">
        <w:rPr>
          <w:sz w:val="24"/>
          <w:szCs w:val="24"/>
        </w:rPr>
        <w:t>, antes y</w:t>
      </w:r>
      <w:r>
        <w:rPr>
          <w:sz w:val="24"/>
          <w:szCs w:val="24"/>
        </w:rPr>
        <w:t xml:space="preserve"> durante su participación en </w:t>
      </w:r>
      <w:r w:rsidR="006A3D94">
        <w:rPr>
          <w:sz w:val="24"/>
          <w:szCs w:val="24"/>
        </w:rPr>
        <w:t xml:space="preserve">el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>SB62</w:t>
      </w:r>
      <w:r w:rsidRPr="007F3843">
        <w:rPr>
          <w:sz w:val="24"/>
          <w:szCs w:val="24"/>
        </w:rPr>
        <w:t>, bajo su riesgo y costo.</w:t>
      </w:r>
    </w:p>
    <w:p w14:paraId="019BE1B3" w14:textId="1651CBDB" w:rsidR="007F37D0" w:rsidRPr="007F3843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 w:rsidRPr="007F3843">
        <w:rPr>
          <w:sz w:val="24"/>
          <w:szCs w:val="24"/>
        </w:rPr>
        <w:t xml:space="preserve">Cada participante remitirá un reporte de las actividades realizadas </w:t>
      </w:r>
      <w:r w:rsidR="00A60A73">
        <w:rPr>
          <w:sz w:val="24"/>
          <w:szCs w:val="24"/>
        </w:rPr>
        <w:t>durante</w:t>
      </w:r>
      <w:r w:rsidRPr="007F3843">
        <w:rPr>
          <w:sz w:val="24"/>
          <w:szCs w:val="24"/>
        </w:rPr>
        <w:t xml:space="preserve"> </w:t>
      </w:r>
      <w:r w:rsidR="006A3D94">
        <w:rPr>
          <w:sz w:val="24"/>
          <w:szCs w:val="24"/>
        </w:rPr>
        <w:t>el</w:t>
      </w:r>
      <w:r w:rsidR="000A295F">
        <w:rPr>
          <w:sz w:val="24"/>
          <w:szCs w:val="24"/>
        </w:rPr>
        <w:t xml:space="preserve"> </w:t>
      </w:r>
      <w:r w:rsidR="00CE6B62" w:rsidRPr="00CE6B62">
        <w:rPr>
          <w:sz w:val="24"/>
          <w:szCs w:val="24"/>
        </w:rPr>
        <w:t>SB62</w:t>
      </w:r>
      <w:r>
        <w:rPr>
          <w:sz w:val="24"/>
          <w:szCs w:val="24"/>
        </w:rPr>
        <w:t>. El plazo de entrega s</w:t>
      </w:r>
      <w:r w:rsidR="001D4C14">
        <w:rPr>
          <w:sz w:val="24"/>
          <w:szCs w:val="24"/>
        </w:rPr>
        <w:t>erán</w:t>
      </w:r>
      <w:r>
        <w:rPr>
          <w:sz w:val="24"/>
          <w:szCs w:val="24"/>
        </w:rPr>
        <w:t xml:space="preserve"> </w:t>
      </w:r>
      <w:r w:rsidR="00603526">
        <w:rPr>
          <w:sz w:val="24"/>
          <w:szCs w:val="24"/>
        </w:rPr>
        <w:t>ocho</w:t>
      </w:r>
      <w:r>
        <w:rPr>
          <w:sz w:val="24"/>
          <w:szCs w:val="24"/>
        </w:rPr>
        <w:t xml:space="preserve"> días </w:t>
      </w:r>
      <w:r w:rsidR="001D4C14">
        <w:rPr>
          <w:sz w:val="24"/>
          <w:szCs w:val="24"/>
        </w:rPr>
        <w:t>calendario después de culminad</w:t>
      </w:r>
      <w:r w:rsidR="006A3D94">
        <w:rPr>
          <w:sz w:val="24"/>
          <w:szCs w:val="24"/>
        </w:rPr>
        <w:t>o</w:t>
      </w:r>
      <w:r w:rsidR="000A295F">
        <w:rPr>
          <w:sz w:val="24"/>
          <w:szCs w:val="24"/>
        </w:rPr>
        <w:t xml:space="preserve"> </w:t>
      </w:r>
      <w:r w:rsidR="006A3D94">
        <w:rPr>
          <w:sz w:val="24"/>
          <w:szCs w:val="24"/>
        </w:rPr>
        <w:t>el</w:t>
      </w:r>
      <w:r w:rsidR="000A295F">
        <w:rPr>
          <w:sz w:val="24"/>
          <w:szCs w:val="24"/>
        </w:rPr>
        <w:t xml:space="preserve"> </w:t>
      </w:r>
      <w:r w:rsidR="00CE6B62" w:rsidRPr="00CE6B62">
        <w:rPr>
          <w:sz w:val="24"/>
          <w:szCs w:val="24"/>
        </w:rPr>
        <w:t>SB62</w:t>
      </w:r>
      <w:r>
        <w:rPr>
          <w:sz w:val="24"/>
          <w:szCs w:val="24"/>
        </w:rPr>
        <w:t xml:space="preserve">, </w:t>
      </w:r>
      <w:r w:rsidRPr="007F3843">
        <w:rPr>
          <w:sz w:val="24"/>
          <w:szCs w:val="24"/>
        </w:rPr>
        <w:t>bajo el formato de reporte establecido por el Ministerio del Ambiente</w:t>
      </w:r>
      <w:r>
        <w:rPr>
          <w:sz w:val="24"/>
          <w:szCs w:val="24"/>
        </w:rPr>
        <w:t>.</w:t>
      </w:r>
    </w:p>
    <w:p w14:paraId="542E3F9B" w14:textId="5B320079" w:rsidR="007F37D0" w:rsidRPr="007F3843" w:rsidRDefault="007F37D0" w:rsidP="007F37D0">
      <w:pPr>
        <w:pStyle w:val="Textoindependiente"/>
        <w:numPr>
          <w:ilvl w:val="0"/>
          <w:numId w:val="4"/>
        </w:numPr>
        <w:tabs>
          <w:tab w:val="left" w:pos="567"/>
          <w:tab w:val="left" w:pos="740"/>
        </w:tabs>
        <w:spacing w:line="360" w:lineRule="auto"/>
        <w:ind w:left="993"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participante que no llegue a concretar su </w:t>
      </w:r>
      <w:r w:rsidRPr="007F3843">
        <w:rPr>
          <w:sz w:val="24"/>
          <w:szCs w:val="24"/>
        </w:rPr>
        <w:t>participa</w:t>
      </w:r>
      <w:r>
        <w:rPr>
          <w:sz w:val="24"/>
          <w:szCs w:val="24"/>
        </w:rPr>
        <w:t>ción</w:t>
      </w:r>
      <w:r w:rsidR="00A60A73">
        <w:rPr>
          <w:sz w:val="24"/>
          <w:szCs w:val="24"/>
        </w:rPr>
        <w:t xml:space="preserve"> </w:t>
      </w:r>
      <w:r w:rsidR="006A3D94">
        <w:rPr>
          <w:sz w:val="24"/>
          <w:szCs w:val="24"/>
        </w:rPr>
        <w:t>al</w:t>
      </w:r>
      <w:r w:rsidR="000A295F">
        <w:rPr>
          <w:sz w:val="24"/>
          <w:szCs w:val="24"/>
        </w:rPr>
        <w:t xml:space="preserve"> </w:t>
      </w:r>
      <w:r w:rsidR="00CE6B62">
        <w:rPr>
          <w:rFonts w:eastAsia="Times New Roman"/>
          <w:color w:val="212121"/>
          <w:sz w:val="24"/>
          <w:szCs w:val="24"/>
          <w:lang w:eastAsia="es-PE"/>
        </w:rPr>
        <w:t xml:space="preserve">SB62 </w:t>
      </w:r>
      <w:r w:rsidRPr="007F3843">
        <w:rPr>
          <w:sz w:val="24"/>
          <w:szCs w:val="24"/>
        </w:rPr>
        <w:t>debe</w:t>
      </w:r>
      <w:r>
        <w:rPr>
          <w:sz w:val="24"/>
          <w:szCs w:val="24"/>
        </w:rPr>
        <w:t>rá</w:t>
      </w:r>
      <w:r w:rsidRPr="007F3843">
        <w:rPr>
          <w:sz w:val="24"/>
          <w:szCs w:val="24"/>
        </w:rPr>
        <w:t xml:space="preserve"> informar a la Dirección General de Cambio Climático y Desertificación</w:t>
      </w:r>
      <w:r>
        <w:rPr>
          <w:sz w:val="24"/>
          <w:szCs w:val="24"/>
        </w:rPr>
        <w:t xml:space="preserve"> del Ministerio del Ambiente</w:t>
      </w:r>
      <w:r w:rsidRPr="007F3843">
        <w:rPr>
          <w:sz w:val="24"/>
          <w:szCs w:val="24"/>
        </w:rPr>
        <w:t>.</w:t>
      </w:r>
    </w:p>
    <w:p w14:paraId="56A5BC11" w14:textId="77777777" w:rsidR="00783A99" w:rsidRDefault="00783A99" w:rsidP="00783A99">
      <w:pPr>
        <w:pStyle w:val="Textoindependiente"/>
        <w:ind w:right="156"/>
        <w:jc w:val="both"/>
        <w:rPr>
          <w:highlight w:val="yellow"/>
        </w:rPr>
      </w:pPr>
    </w:p>
    <w:p w14:paraId="2F2CA940" w14:textId="77777777" w:rsidR="00783A99" w:rsidRDefault="00783A99" w:rsidP="00783A99">
      <w:pPr>
        <w:pStyle w:val="Textoindependiente"/>
        <w:ind w:right="156"/>
        <w:jc w:val="both"/>
        <w:rPr>
          <w:highlight w:val="yellow"/>
        </w:rPr>
      </w:pPr>
    </w:p>
    <w:p w14:paraId="148B2DF5" w14:textId="77777777" w:rsidR="00783A99" w:rsidRDefault="00783A99" w:rsidP="00783A99">
      <w:pPr>
        <w:pStyle w:val="Textoindependiente"/>
        <w:spacing w:line="360" w:lineRule="auto"/>
      </w:pPr>
    </w:p>
    <w:p w14:paraId="4D06AD98" w14:textId="77777777" w:rsidR="007F37D0" w:rsidRDefault="007F37D0" w:rsidP="00783A99">
      <w:pPr>
        <w:pStyle w:val="Textoindependiente"/>
        <w:spacing w:line="360" w:lineRule="auto"/>
      </w:pPr>
    </w:p>
    <w:p w14:paraId="143E74E4" w14:textId="77777777" w:rsidR="007F37D0" w:rsidRDefault="007F37D0" w:rsidP="00783A99">
      <w:pPr>
        <w:pStyle w:val="Textoindependiente"/>
        <w:spacing w:line="360" w:lineRule="auto"/>
      </w:pPr>
    </w:p>
    <w:p w14:paraId="3A6ED1CB" w14:textId="77777777" w:rsidR="00783A99" w:rsidRDefault="00783A99" w:rsidP="00783A99">
      <w:pPr>
        <w:pStyle w:val="Textoindependiente"/>
        <w:spacing w:line="360" w:lineRule="auto"/>
        <w:rPr>
          <w:sz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036BD892" wp14:editId="5B5FFBBB">
                <wp:simplePos x="0" y="0"/>
                <wp:positionH relativeFrom="page">
                  <wp:posOffset>2603500</wp:posOffset>
                </wp:positionH>
                <wp:positionV relativeFrom="paragraph">
                  <wp:posOffset>252730</wp:posOffset>
                </wp:positionV>
                <wp:extent cx="23526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100 4100"/>
                            <a:gd name="T1" fmla="*/ T0 w 3705"/>
                            <a:gd name="T2" fmla="+- 0 7805 410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56C9" id="Freeform 4" o:spid="_x0000_s1026" style="position:absolute;margin-left:205pt;margin-top:19.9pt;width:185.25pt;height:.1pt;z-index:-1578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5E26E0CE" w14:textId="49A9F9D1" w:rsidR="00783A99" w:rsidRDefault="00783A99" w:rsidP="00783A99">
      <w:pPr>
        <w:pStyle w:val="Ttulo1"/>
        <w:spacing w:before="0" w:line="360" w:lineRule="auto"/>
        <w:ind w:left="4402" w:right="4062"/>
        <w:jc w:val="center"/>
      </w:pPr>
      <w:r>
        <w:t>FIRMA</w:t>
      </w:r>
    </w:p>
    <w:p w14:paraId="18FC9CB1" w14:textId="77777777" w:rsidR="007F37D0" w:rsidRDefault="007F37D0" w:rsidP="00783A99">
      <w:pPr>
        <w:pStyle w:val="Textoindependiente"/>
        <w:ind w:left="284" w:right="156"/>
        <w:jc w:val="both"/>
        <w:rPr>
          <w:sz w:val="18"/>
          <w:szCs w:val="18"/>
        </w:rPr>
      </w:pPr>
    </w:p>
    <w:p w14:paraId="2E13EA0D" w14:textId="77777777" w:rsidR="007F37D0" w:rsidRDefault="007F37D0" w:rsidP="00783A99">
      <w:pPr>
        <w:pStyle w:val="Textoindependiente"/>
        <w:ind w:left="284" w:right="156"/>
        <w:jc w:val="both"/>
        <w:rPr>
          <w:sz w:val="18"/>
          <w:szCs w:val="18"/>
        </w:rPr>
      </w:pPr>
    </w:p>
    <w:p w14:paraId="11310414" w14:textId="6CCD0587" w:rsidR="00470D0B" w:rsidRPr="00783A99" w:rsidRDefault="00470D0B" w:rsidP="00783A99">
      <w:pPr>
        <w:pStyle w:val="Textoindependiente"/>
        <w:tabs>
          <w:tab w:val="left" w:pos="7194"/>
        </w:tabs>
        <w:ind w:left="284"/>
        <w:jc w:val="both"/>
        <w:rPr>
          <w:sz w:val="18"/>
          <w:szCs w:val="18"/>
        </w:rPr>
      </w:pPr>
    </w:p>
    <w:sectPr w:rsidR="00470D0B" w:rsidRPr="00783A99" w:rsidSect="00AD6592">
      <w:headerReference w:type="default" r:id="rId7"/>
      <w:footerReference w:type="default" r:id="rId8"/>
      <w:type w:val="continuous"/>
      <w:pgSz w:w="11910" w:h="16840"/>
      <w:pgMar w:top="1276" w:right="1540" w:bottom="1134" w:left="1200" w:header="720" w:footer="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B1BF" w14:textId="77777777" w:rsidR="0000396F" w:rsidRDefault="0000396F" w:rsidP="00D86E0D">
      <w:r>
        <w:separator/>
      </w:r>
    </w:p>
  </w:endnote>
  <w:endnote w:type="continuationSeparator" w:id="0">
    <w:p w14:paraId="6C951AC1" w14:textId="77777777" w:rsidR="0000396F" w:rsidRDefault="0000396F" w:rsidP="00D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22"/>
      <w:gridCol w:w="10625"/>
    </w:tblGrid>
    <w:tr w:rsidR="00A60A73" w:rsidRPr="00F85F73" w14:paraId="67B43C04" w14:textId="77777777" w:rsidTr="0008285A">
      <w:trPr>
        <w:trHeight w:val="1406"/>
      </w:trPr>
      <w:tc>
        <w:tcPr>
          <w:tcW w:w="2997" w:type="dxa"/>
          <w:shd w:val="clear" w:color="auto" w:fill="auto"/>
        </w:tcPr>
        <w:p w14:paraId="5FAAC2B8" w14:textId="77777777" w:rsidR="00A60A73" w:rsidRPr="00F85F73" w:rsidRDefault="00A60A73" w:rsidP="00A60A73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  <w:shd w:val="clear" w:color="auto" w:fill="auto"/>
        </w:tcPr>
        <w:tbl>
          <w:tblPr>
            <w:tblW w:w="10409" w:type="dxa"/>
            <w:tblLook w:val="04A0" w:firstRow="1" w:lastRow="0" w:firstColumn="1" w:lastColumn="0" w:noHBand="0" w:noVBand="1"/>
          </w:tblPr>
          <w:tblGrid>
            <w:gridCol w:w="2997"/>
            <w:gridCol w:w="7412"/>
          </w:tblGrid>
          <w:tr w:rsidR="00AD6592" w:rsidRPr="00F85F73" w14:paraId="233A8511" w14:textId="77777777" w:rsidTr="008E3A9F">
            <w:trPr>
              <w:trHeight w:val="1406"/>
            </w:trPr>
            <w:tc>
              <w:tcPr>
                <w:tcW w:w="2997" w:type="dxa"/>
                <w:shd w:val="clear" w:color="auto" w:fill="auto"/>
              </w:tcPr>
              <w:p w14:paraId="795EA8BE" w14:textId="2F5B2FD8" w:rsidR="00AD6592" w:rsidRPr="00F07BA8" w:rsidRDefault="00AD6592" w:rsidP="00F07BA8">
                <w:pPr>
                  <w:ind w:right="-113"/>
                  <w:rPr>
                    <w:sz w:val="14"/>
                    <w:szCs w:val="14"/>
                  </w:rPr>
                </w:pPr>
                <w:r w:rsidRPr="0043085A">
                  <w:rPr>
                    <w:sz w:val="14"/>
                    <w:szCs w:val="14"/>
                  </w:rPr>
                  <w:t>Central Telefónica: 611-6000</w:t>
                </w:r>
                <w:r>
                  <w:rPr>
                    <w:sz w:val="14"/>
                    <w:szCs w:val="14"/>
                  </w:rPr>
                  <w:br/>
                </w:r>
                <w:r w:rsidRPr="0043085A">
                  <w:rPr>
                    <w:sz w:val="14"/>
                    <w:szCs w:val="14"/>
                  </w:rPr>
                  <w:t>www.gob.pe/minam</w:t>
                </w:r>
              </w:p>
            </w:tc>
            <w:tc>
              <w:tcPr>
                <w:tcW w:w="7412" w:type="dxa"/>
                <w:shd w:val="clear" w:color="auto" w:fill="auto"/>
              </w:tcPr>
              <w:p w14:paraId="3F7C6BA6" w14:textId="28A9B6B7" w:rsidR="00AD6592" w:rsidRPr="00F85F73" w:rsidRDefault="00AD6592" w:rsidP="00AD6592">
                <w:pPr>
                  <w:ind w:right="873" w:hanging="2"/>
                  <w:jc w:val="right"/>
                  <w:rPr>
                    <w:color w:val="000000"/>
                  </w:rPr>
                </w:pP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>
                  <w:rPr>
                    <w:bdr w:val="none" w:sz="0" w:space="0" w:color="auto" w:frame="1"/>
                  </w:rPr>
                  <w:fldChar w:fldCharType="begin"/>
                </w:r>
                <w:r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>
                  <w:rPr>
                    <w:bdr w:val="none" w:sz="0" w:space="0" w:color="auto" w:frame="1"/>
                  </w:rPr>
                  <w:fldChar w:fldCharType="separate"/>
                </w:r>
                <w:r w:rsidR="00000000">
                  <w:rPr>
                    <w:bdr w:val="none" w:sz="0" w:space="0" w:color="auto" w:frame="1"/>
                  </w:rPr>
                  <w:fldChar w:fldCharType="begin"/>
                </w:r>
                <w:r w:rsidR="00000000">
                  <w:rPr>
                    <w:bdr w:val="none" w:sz="0" w:space="0" w:color="auto" w:frame="1"/>
                  </w:rPr>
      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      </w:r>
                <w:r w:rsidR="00000000">
                  <w:rPr>
                    <w:bdr w:val="none" w:sz="0" w:space="0" w:color="auto" w:frame="1"/>
                  </w:rPr>
                  <w:fldChar w:fldCharType="separate"/>
                </w:r>
                <w:r w:rsidR="006A3D94">
                  <w:rPr>
                    <w:bdr w:val="none" w:sz="0" w:space="0" w:color="auto" w:frame="1"/>
                  </w:rPr>
                  <w:pict w14:anchorId="5784E2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51.75pt">
                      <v:imagedata r:id="rId1" r:href="rId2"/>
                    </v:shape>
                  </w:pict>
                </w:r>
                <w:r w:rsidR="00000000"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bdr w:val="none" w:sz="0" w:space="0" w:color="auto" w:frame="1"/>
                  </w:rPr>
                  <w:fldChar w:fldCharType="end"/>
                </w:r>
                <w:r>
                  <w:rPr>
                    <w:noProof/>
                  </w:rPr>
                  <w:t xml:space="preserve">    </w:t>
                </w:r>
              </w:p>
            </w:tc>
          </w:tr>
        </w:tbl>
        <w:p w14:paraId="34FCF79E" w14:textId="43E8DD76" w:rsidR="00A60A73" w:rsidRPr="00F85F73" w:rsidRDefault="00A60A73" w:rsidP="00A60A73">
          <w:pPr>
            <w:ind w:right="873" w:hanging="2"/>
            <w:jc w:val="right"/>
            <w:rPr>
              <w:color w:val="000000"/>
            </w:rPr>
          </w:pPr>
          <w:r>
            <w:rPr>
              <w:noProof/>
            </w:rPr>
            <w:t xml:space="preserve">    </w:t>
          </w:r>
        </w:p>
      </w:tc>
    </w:tr>
    <w:bookmarkEnd w:id="0"/>
  </w:tbl>
  <w:p w14:paraId="67CA6DFF" w14:textId="1054A26F" w:rsidR="00870C7A" w:rsidRDefault="008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8E18" w14:textId="77777777" w:rsidR="0000396F" w:rsidRDefault="0000396F" w:rsidP="00D86E0D">
      <w:r>
        <w:separator/>
      </w:r>
    </w:p>
  </w:footnote>
  <w:footnote w:type="continuationSeparator" w:id="0">
    <w:p w14:paraId="1EBB9882" w14:textId="77777777" w:rsidR="0000396F" w:rsidRDefault="0000396F" w:rsidP="00D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668E" w14:textId="77777777" w:rsidR="00870C7A" w:rsidRDefault="00870C7A">
    <w:pPr>
      <w:pStyle w:val="Encabezado"/>
    </w:pPr>
  </w:p>
  <w:p w14:paraId="281F29A8" w14:textId="77777777" w:rsidR="00870C7A" w:rsidRDefault="00870C7A">
    <w:pPr>
      <w:pStyle w:val="Encabezado"/>
    </w:pPr>
    <w:r w:rsidRPr="00481428">
      <w:rPr>
        <w:noProof/>
        <w:lang w:val="es-PE" w:eastAsia="es-PE"/>
      </w:rPr>
      <w:drawing>
        <wp:inline distT="0" distB="0" distL="0" distR="0" wp14:anchorId="60D3B44A" wp14:editId="34B87012">
          <wp:extent cx="2443277" cy="530947"/>
          <wp:effectExtent l="0" t="0" r="0" b="2540"/>
          <wp:docPr id="444796002" name="Imagen 444796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8DE43A" w14:textId="77777777" w:rsidR="00870C7A" w:rsidRDefault="00870C7A" w:rsidP="00D86E0D">
    <w:pPr>
      <w:tabs>
        <w:tab w:val="center" w:pos="4252"/>
        <w:tab w:val="right" w:pos="8504"/>
      </w:tabs>
      <w:jc w:val="center"/>
      <w:rPr>
        <w:rFonts w:eastAsia="Times New Roman" w:cs="Arial"/>
        <w:i/>
        <w:color w:val="000000"/>
        <w:sz w:val="16"/>
        <w:szCs w:val="16"/>
        <w:lang w:eastAsia="es-ES"/>
      </w:rPr>
    </w:pPr>
  </w:p>
  <w:p w14:paraId="0BEC8082" w14:textId="77777777" w:rsidR="00CD1F8F" w:rsidRPr="00CD1F8F" w:rsidRDefault="00CD1F8F" w:rsidP="00CD1F8F">
    <w:pPr>
      <w:pStyle w:val="Encabezado"/>
      <w:jc w:val="center"/>
      <w:rPr>
        <w:color w:val="000000"/>
        <w:sz w:val="16"/>
        <w:szCs w:val="16"/>
      </w:rPr>
    </w:pPr>
    <w:r w:rsidRPr="00CD1F8F">
      <w:rPr>
        <w:color w:val="000000"/>
        <w:sz w:val="16"/>
        <w:szCs w:val="16"/>
      </w:rPr>
      <w:t>“Decenio de la Igualdad de Oportunidades para Mujeres y Hombres”</w:t>
    </w:r>
  </w:p>
  <w:p w14:paraId="4B9E1A46" w14:textId="0B0ABA65" w:rsidR="00870C7A" w:rsidRDefault="00CD1F8F" w:rsidP="00CD1F8F">
    <w:pPr>
      <w:pStyle w:val="Encabezado"/>
      <w:jc w:val="center"/>
      <w:rPr>
        <w:color w:val="000000"/>
        <w:sz w:val="16"/>
        <w:szCs w:val="16"/>
      </w:rPr>
    </w:pPr>
    <w:r w:rsidRPr="00CD1F8F">
      <w:rPr>
        <w:color w:val="000000"/>
        <w:sz w:val="16"/>
        <w:szCs w:val="16"/>
      </w:rPr>
      <w:t>“Año de la recuperación y consolidación de la economía peruana”</w:t>
    </w:r>
  </w:p>
  <w:p w14:paraId="0B595AC0" w14:textId="77777777" w:rsidR="00CD1F8F" w:rsidRDefault="00CD1F8F" w:rsidP="00CD1F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A341CA"/>
    <w:multiLevelType w:val="hybridMultilevel"/>
    <w:tmpl w:val="6730F424"/>
    <w:lvl w:ilvl="0" w:tplc="C032ED72">
      <w:start w:val="8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C846CB2C">
      <w:numFmt w:val="bullet"/>
      <w:lvlText w:val="•"/>
      <w:lvlJc w:val="left"/>
      <w:pPr>
        <w:ind w:left="1582" w:hanging="238"/>
      </w:pPr>
      <w:rPr>
        <w:rFonts w:hint="default"/>
        <w:lang w:val="es-ES" w:eastAsia="en-US" w:bidi="ar-SA"/>
      </w:rPr>
    </w:lvl>
    <w:lvl w:ilvl="2" w:tplc="FF9A3EA6">
      <w:numFmt w:val="bullet"/>
      <w:lvlText w:val="•"/>
      <w:lvlJc w:val="left"/>
      <w:pPr>
        <w:ind w:left="2425" w:hanging="238"/>
      </w:pPr>
      <w:rPr>
        <w:rFonts w:hint="default"/>
        <w:lang w:val="es-ES" w:eastAsia="en-US" w:bidi="ar-SA"/>
      </w:rPr>
    </w:lvl>
    <w:lvl w:ilvl="3" w:tplc="B09024F0">
      <w:numFmt w:val="bullet"/>
      <w:lvlText w:val="•"/>
      <w:lvlJc w:val="left"/>
      <w:pPr>
        <w:ind w:left="3267" w:hanging="238"/>
      </w:pPr>
      <w:rPr>
        <w:rFonts w:hint="default"/>
        <w:lang w:val="es-ES" w:eastAsia="en-US" w:bidi="ar-SA"/>
      </w:rPr>
    </w:lvl>
    <w:lvl w:ilvl="4" w:tplc="8638BAD4">
      <w:numFmt w:val="bullet"/>
      <w:lvlText w:val="•"/>
      <w:lvlJc w:val="left"/>
      <w:pPr>
        <w:ind w:left="4110" w:hanging="238"/>
      </w:pPr>
      <w:rPr>
        <w:rFonts w:hint="default"/>
        <w:lang w:val="es-ES" w:eastAsia="en-US" w:bidi="ar-SA"/>
      </w:rPr>
    </w:lvl>
    <w:lvl w:ilvl="5" w:tplc="E0328CD2">
      <w:numFmt w:val="bullet"/>
      <w:lvlText w:val="•"/>
      <w:lvlJc w:val="left"/>
      <w:pPr>
        <w:ind w:left="4953" w:hanging="238"/>
      </w:pPr>
      <w:rPr>
        <w:rFonts w:hint="default"/>
        <w:lang w:val="es-ES" w:eastAsia="en-US" w:bidi="ar-SA"/>
      </w:rPr>
    </w:lvl>
    <w:lvl w:ilvl="6" w:tplc="D0B65E78">
      <w:numFmt w:val="bullet"/>
      <w:lvlText w:val="•"/>
      <w:lvlJc w:val="left"/>
      <w:pPr>
        <w:ind w:left="5795" w:hanging="238"/>
      </w:pPr>
      <w:rPr>
        <w:rFonts w:hint="default"/>
        <w:lang w:val="es-ES" w:eastAsia="en-US" w:bidi="ar-SA"/>
      </w:rPr>
    </w:lvl>
    <w:lvl w:ilvl="7" w:tplc="AA7261B8">
      <w:numFmt w:val="bullet"/>
      <w:lvlText w:val="•"/>
      <w:lvlJc w:val="left"/>
      <w:pPr>
        <w:ind w:left="6638" w:hanging="238"/>
      </w:pPr>
      <w:rPr>
        <w:rFonts w:hint="default"/>
        <w:lang w:val="es-ES" w:eastAsia="en-US" w:bidi="ar-SA"/>
      </w:rPr>
    </w:lvl>
    <w:lvl w:ilvl="8" w:tplc="3DA8D58C">
      <w:numFmt w:val="bullet"/>
      <w:lvlText w:val="•"/>
      <w:lvlJc w:val="left"/>
      <w:pPr>
        <w:ind w:left="7481" w:hanging="238"/>
      </w:pPr>
      <w:rPr>
        <w:rFonts w:hint="default"/>
        <w:lang w:val="es-ES" w:eastAsia="en-US" w:bidi="ar-SA"/>
      </w:rPr>
    </w:lvl>
  </w:abstractNum>
  <w:abstractNum w:abstractNumId="3" w15:restartNumberingAfterBreak="0">
    <w:nsid w:val="7E3F7E8F"/>
    <w:multiLevelType w:val="hybridMultilevel"/>
    <w:tmpl w:val="F8C8A8AC"/>
    <w:lvl w:ilvl="0" w:tplc="7EF029DE">
      <w:start w:val="1"/>
      <w:numFmt w:val="decimal"/>
      <w:lvlText w:val="%1."/>
      <w:lvlJc w:val="left"/>
      <w:pPr>
        <w:ind w:left="739" w:hanging="23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n-US" w:bidi="ar-SA"/>
      </w:rPr>
    </w:lvl>
    <w:lvl w:ilvl="1" w:tplc="9ED60EEA">
      <w:numFmt w:val="bullet"/>
      <w:lvlText w:val=""/>
      <w:lvlJc w:val="left"/>
      <w:pPr>
        <w:ind w:left="1068" w:hanging="207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AB206CC0">
      <w:numFmt w:val="bullet"/>
      <w:lvlText w:val="•"/>
      <w:lvlJc w:val="left"/>
      <w:pPr>
        <w:ind w:left="1960" w:hanging="207"/>
      </w:pPr>
      <w:rPr>
        <w:rFonts w:hint="default"/>
        <w:lang w:val="es-ES" w:eastAsia="en-US" w:bidi="ar-SA"/>
      </w:rPr>
    </w:lvl>
    <w:lvl w:ilvl="3" w:tplc="7A161456">
      <w:numFmt w:val="bullet"/>
      <w:lvlText w:val="•"/>
      <w:lvlJc w:val="left"/>
      <w:pPr>
        <w:ind w:left="2861" w:hanging="207"/>
      </w:pPr>
      <w:rPr>
        <w:rFonts w:hint="default"/>
        <w:lang w:val="es-ES" w:eastAsia="en-US" w:bidi="ar-SA"/>
      </w:rPr>
    </w:lvl>
    <w:lvl w:ilvl="4" w:tplc="9176C81E">
      <w:numFmt w:val="bullet"/>
      <w:lvlText w:val="•"/>
      <w:lvlJc w:val="left"/>
      <w:pPr>
        <w:ind w:left="3762" w:hanging="207"/>
      </w:pPr>
      <w:rPr>
        <w:rFonts w:hint="default"/>
        <w:lang w:val="es-ES" w:eastAsia="en-US" w:bidi="ar-SA"/>
      </w:rPr>
    </w:lvl>
    <w:lvl w:ilvl="5" w:tplc="D25EE0F8">
      <w:numFmt w:val="bullet"/>
      <w:lvlText w:val="•"/>
      <w:lvlJc w:val="left"/>
      <w:pPr>
        <w:ind w:left="4662" w:hanging="207"/>
      </w:pPr>
      <w:rPr>
        <w:rFonts w:hint="default"/>
        <w:lang w:val="es-ES" w:eastAsia="en-US" w:bidi="ar-SA"/>
      </w:rPr>
    </w:lvl>
    <w:lvl w:ilvl="6" w:tplc="244259A0">
      <w:numFmt w:val="bullet"/>
      <w:lvlText w:val="•"/>
      <w:lvlJc w:val="left"/>
      <w:pPr>
        <w:ind w:left="5563" w:hanging="207"/>
      </w:pPr>
      <w:rPr>
        <w:rFonts w:hint="default"/>
        <w:lang w:val="es-ES" w:eastAsia="en-US" w:bidi="ar-SA"/>
      </w:rPr>
    </w:lvl>
    <w:lvl w:ilvl="7" w:tplc="C550485C">
      <w:numFmt w:val="bullet"/>
      <w:lvlText w:val="•"/>
      <w:lvlJc w:val="left"/>
      <w:pPr>
        <w:ind w:left="6464" w:hanging="207"/>
      </w:pPr>
      <w:rPr>
        <w:rFonts w:hint="default"/>
        <w:lang w:val="es-ES" w:eastAsia="en-US" w:bidi="ar-SA"/>
      </w:rPr>
    </w:lvl>
    <w:lvl w:ilvl="8" w:tplc="819E0EB4">
      <w:numFmt w:val="bullet"/>
      <w:lvlText w:val="•"/>
      <w:lvlJc w:val="left"/>
      <w:pPr>
        <w:ind w:left="7364" w:hanging="207"/>
      </w:pPr>
      <w:rPr>
        <w:rFonts w:hint="default"/>
        <w:lang w:val="es-ES" w:eastAsia="en-US" w:bidi="ar-SA"/>
      </w:rPr>
    </w:lvl>
  </w:abstractNum>
  <w:num w:numId="1" w16cid:durableId="1530295435">
    <w:abstractNumId w:val="2"/>
  </w:num>
  <w:num w:numId="2" w16cid:durableId="2070418565">
    <w:abstractNumId w:val="3"/>
  </w:num>
  <w:num w:numId="3" w16cid:durableId="329451789">
    <w:abstractNumId w:val="1"/>
  </w:num>
  <w:num w:numId="4" w16cid:durableId="247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0B"/>
    <w:rsid w:val="0000341E"/>
    <w:rsid w:val="0000396F"/>
    <w:rsid w:val="0001057E"/>
    <w:rsid w:val="0002736F"/>
    <w:rsid w:val="000A295F"/>
    <w:rsid w:val="000A57B4"/>
    <w:rsid w:val="000A5D57"/>
    <w:rsid w:val="000D1472"/>
    <w:rsid w:val="000D2415"/>
    <w:rsid w:val="000D7684"/>
    <w:rsid w:val="000F5E5A"/>
    <w:rsid w:val="0010259B"/>
    <w:rsid w:val="00115A42"/>
    <w:rsid w:val="00122E88"/>
    <w:rsid w:val="00153F8D"/>
    <w:rsid w:val="001721C2"/>
    <w:rsid w:val="001A0EB3"/>
    <w:rsid w:val="001B3F2A"/>
    <w:rsid w:val="001C0EDE"/>
    <w:rsid w:val="001D4C14"/>
    <w:rsid w:val="001F26C1"/>
    <w:rsid w:val="00200C73"/>
    <w:rsid w:val="002169AE"/>
    <w:rsid w:val="0024635E"/>
    <w:rsid w:val="002D183E"/>
    <w:rsid w:val="003378D5"/>
    <w:rsid w:val="0035107A"/>
    <w:rsid w:val="00351D9E"/>
    <w:rsid w:val="00392290"/>
    <w:rsid w:val="003A7F0E"/>
    <w:rsid w:val="003F7905"/>
    <w:rsid w:val="00431354"/>
    <w:rsid w:val="0045416A"/>
    <w:rsid w:val="00461AAD"/>
    <w:rsid w:val="00470D0B"/>
    <w:rsid w:val="00497354"/>
    <w:rsid w:val="00497B3E"/>
    <w:rsid w:val="004A686C"/>
    <w:rsid w:val="004B2C55"/>
    <w:rsid w:val="004C4626"/>
    <w:rsid w:val="00522F16"/>
    <w:rsid w:val="00535B0D"/>
    <w:rsid w:val="00603526"/>
    <w:rsid w:val="006075F6"/>
    <w:rsid w:val="00633024"/>
    <w:rsid w:val="006654F7"/>
    <w:rsid w:val="006A3D94"/>
    <w:rsid w:val="006D2543"/>
    <w:rsid w:val="006F5E1F"/>
    <w:rsid w:val="00727F4A"/>
    <w:rsid w:val="0075750B"/>
    <w:rsid w:val="007631D2"/>
    <w:rsid w:val="00774B1B"/>
    <w:rsid w:val="00782059"/>
    <w:rsid w:val="00783A99"/>
    <w:rsid w:val="007B0AE9"/>
    <w:rsid w:val="007B23D6"/>
    <w:rsid w:val="007D6195"/>
    <w:rsid w:val="007F37D0"/>
    <w:rsid w:val="00870C7A"/>
    <w:rsid w:val="008B37B4"/>
    <w:rsid w:val="008B745A"/>
    <w:rsid w:val="008D3875"/>
    <w:rsid w:val="00906EC2"/>
    <w:rsid w:val="00937C27"/>
    <w:rsid w:val="0099539C"/>
    <w:rsid w:val="009E0C10"/>
    <w:rsid w:val="009E2966"/>
    <w:rsid w:val="009E31E1"/>
    <w:rsid w:val="009F7BA0"/>
    <w:rsid w:val="00A056C1"/>
    <w:rsid w:val="00A17B83"/>
    <w:rsid w:val="00A22489"/>
    <w:rsid w:val="00A45A06"/>
    <w:rsid w:val="00A60A73"/>
    <w:rsid w:val="00A611C8"/>
    <w:rsid w:val="00A95CF0"/>
    <w:rsid w:val="00AC3BB7"/>
    <w:rsid w:val="00AD6592"/>
    <w:rsid w:val="00B22D05"/>
    <w:rsid w:val="00B44A6D"/>
    <w:rsid w:val="00B75F8C"/>
    <w:rsid w:val="00B80120"/>
    <w:rsid w:val="00BA5AEA"/>
    <w:rsid w:val="00C4734F"/>
    <w:rsid w:val="00C916A2"/>
    <w:rsid w:val="00CB6694"/>
    <w:rsid w:val="00CD1F8F"/>
    <w:rsid w:val="00CD4730"/>
    <w:rsid w:val="00CE6B62"/>
    <w:rsid w:val="00D67404"/>
    <w:rsid w:val="00D86E0D"/>
    <w:rsid w:val="00DC3691"/>
    <w:rsid w:val="00DD24AE"/>
    <w:rsid w:val="00E20AB8"/>
    <w:rsid w:val="00E458CA"/>
    <w:rsid w:val="00E551F1"/>
    <w:rsid w:val="00E6407E"/>
    <w:rsid w:val="00EA6BB5"/>
    <w:rsid w:val="00ED17B8"/>
    <w:rsid w:val="00ED4C35"/>
    <w:rsid w:val="00ED5E32"/>
    <w:rsid w:val="00EF3582"/>
    <w:rsid w:val="00F02D05"/>
    <w:rsid w:val="00F04A62"/>
    <w:rsid w:val="00F07BA8"/>
    <w:rsid w:val="00F10A90"/>
    <w:rsid w:val="00F332C9"/>
    <w:rsid w:val="00F41D48"/>
    <w:rsid w:val="00F751C3"/>
    <w:rsid w:val="00F96391"/>
    <w:rsid w:val="00FA2420"/>
    <w:rsid w:val="00FC148C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AFA6B"/>
  <w15:docId w15:val="{AA773BC6-4E7B-449A-8961-2B0C34CA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1"/>
      <w:ind w:left="1805" w:right="12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13"/>
      <w:ind w:left="502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0"/>
      <w:ind w:left="739" w:hanging="238"/>
    </w:pPr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Encabezado">
    <w:name w:val="header"/>
    <w:basedOn w:val="Normal"/>
    <w:link w:val="Encabezado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E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E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Sofia Azucena Huangal Alvarez</cp:lastModifiedBy>
  <cp:revision>11</cp:revision>
  <dcterms:created xsi:type="dcterms:W3CDTF">2024-10-29T15:19:00Z</dcterms:created>
  <dcterms:modified xsi:type="dcterms:W3CDTF">2025-04-24T21:35:00Z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</Properties>
</file>